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E9F0" w14:textId="77777777" w:rsidR="00E30776" w:rsidRPr="009F1BEA" w:rsidRDefault="00E30776" w:rsidP="00E30776">
      <w:pPr>
        <w:rPr>
          <w:rFonts w:ascii="Baguet Script" w:hAnsi="Baguet Script"/>
          <w:sz w:val="52"/>
          <w:szCs w:val="52"/>
        </w:rPr>
      </w:pPr>
      <w:r w:rsidRPr="009F1BEA">
        <w:rPr>
          <w:rFonts w:ascii="Baguet Script" w:hAnsi="Baguet Script"/>
          <w:sz w:val="52"/>
          <w:szCs w:val="52"/>
        </w:rPr>
        <w:t xml:space="preserve">Règles de fonctionnement </w:t>
      </w:r>
    </w:p>
    <w:p w14:paraId="6ABFFE4B" w14:textId="77777777" w:rsidR="00E30776" w:rsidRPr="00BA5700" w:rsidRDefault="00E30776">
      <w:pPr>
        <w:rPr>
          <w:rFonts w:ascii="Comic Sans MS" w:hAnsi="Comic Sans MS"/>
          <w:sz w:val="32"/>
          <w:szCs w:val="32"/>
          <w:u w:val="single"/>
        </w:rPr>
      </w:pPr>
      <w:r w:rsidRPr="00BA5700">
        <w:rPr>
          <w:rFonts w:ascii="Comic Sans MS" w:hAnsi="Comic Sans MS"/>
          <w:sz w:val="32"/>
          <w:szCs w:val="32"/>
          <w:u w:val="single"/>
        </w:rPr>
        <w:t xml:space="preserve">Médicaments </w:t>
      </w:r>
    </w:p>
    <w:p w14:paraId="183C9E22" w14:textId="77777777" w:rsidR="00E30776" w:rsidRDefault="00E30776"/>
    <w:p w14:paraId="12DABACC" w14:textId="2088F494" w:rsidR="00BA5700" w:rsidRPr="00BA5700" w:rsidRDefault="00E30776">
      <w:pPr>
        <w:rPr>
          <w:rFonts w:ascii="Comic Sans MS" w:hAnsi="Comic Sans MS"/>
        </w:rPr>
      </w:pPr>
      <w:r w:rsidRPr="00BA5700">
        <w:rPr>
          <w:rFonts w:ascii="Comic Sans MS" w:hAnsi="Comic Sans MS"/>
        </w:rPr>
        <w:t xml:space="preserve">Selon les règlements du ministère de la Famille et des Aînés, les médicaments doivent être administrés seulement s’ils sont accompagnés d’une ordonnance médicale et avec le consentement parental écrit. </w:t>
      </w:r>
      <w:r w:rsidR="00BA5700" w:rsidRPr="00BA5700">
        <w:rPr>
          <w:rFonts w:ascii="Comic Sans MS" w:hAnsi="Comic Sans MS"/>
        </w:rPr>
        <w:t>Tout membre du personnel du CPE est autorisé à administrer le médicament à l’enfant.</w:t>
      </w:r>
    </w:p>
    <w:p w14:paraId="21296E40" w14:textId="6DFAED38" w:rsidR="00BA5700" w:rsidRPr="00BA5700" w:rsidRDefault="00E30776">
      <w:pPr>
        <w:rPr>
          <w:rFonts w:ascii="Comic Sans MS" w:hAnsi="Comic Sans MS"/>
        </w:rPr>
      </w:pPr>
      <w:r w:rsidRPr="00BA5700">
        <w:rPr>
          <w:rFonts w:ascii="Comic Sans MS" w:hAnsi="Comic Sans MS"/>
        </w:rPr>
        <w:t>Toutefois, la crème solaire</w:t>
      </w:r>
      <w:r w:rsidR="00BA5700" w:rsidRPr="00BA5700">
        <w:rPr>
          <w:rFonts w:ascii="Comic Sans MS" w:hAnsi="Comic Sans MS"/>
        </w:rPr>
        <w:t xml:space="preserve">, </w:t>
      </w:r>
      <w:r w:rsidRPr="00BA5700">
        <w:rPr>
          <w:rFonts w:ascii="Comic Sans MS" w:hAnsi="Comic Sans MS"/>
        </w:rPr>
        <w:t xml:space="preserve">la crème </w:t>
      </w:r>
      <w:r w:rsidR="00BA5700" w:rsidRPr="00BA5700">
        <w:rPr>
          <w:rFonts w:ascii="Comic Sans MS" w:hAnsi="Comic Sans MS"/>
        </w:rPr>
        <w:t>d’</w:t>
      </w:r>
      <w:r w:rsidRPr="00BA5700">
        <w:rPr>
          <w:rFonts w:ascii="Comic Sans MS" w:hAnsi="Comic Sans MS"/>
        </w:rPr>
        <w:t>oxyde de zinc, la solution orale hydrat</w:t>
      </w:r>
      <w:r w:rsidR="00BA5700" w:rsidRPr="00BA5700">
        <w:rPr>
          <w:rFonts w:ascii="Comic Sans MS" w:hAnsi="Comic Sans MS"/>
        </w:rPr>
        <w:t>ation</w:t>
      </w:r>
      <w:r w:rsidRPr="00BA5700">
        <w:rPr>
          <w:rFonts w:ascii="Comic Sans MS" w:hAnsi="Comic Sans MS"/>
        </w:rPr>
        <w:t xml:space="preserve">, </w:t>
      </w:r>
      <w:r w:rsidR="00BA5700" w:rsidRPr="00BA5700">
        <w:rPr>
          <w:rFonts w:ascii="Comic Sans MS" w:hAnsi="Comic Sans MS"/>
        </w:rPr>
        <w:t xml:space="preserve">et </w:t>
      </w:r>
      <w:r w:rsidRPr="00BA5700">
        <w:rPr>
          <w:rFonts w:ascii="Comic Sans MS" w:hAnsi="Comic Sans MS"/>
        </w:rPr>
        <w:t xml:space="preserve">les gouttes nasales salines, ne nécessitent pas une prescription. </w:t>
      </w:r>
      <w:r w:rsidR="00BA5700" w:rsidRPr="00BA5700">
        <w:rPr>
          <w:rFonts w:ascii="Comic Sans MS" w:hAnsi="Comic Sans MS"/>
        </w:rPr>
        <w:t>L</w:t>
      </w:r>
      <w:r w:rsidR="00BA5700" w:rsidRPr="00BA5700">
        <w:rPr>
          <w:rFonts w:ascii="Comic Sans MS" w:hAnsi="Comic Sans MS"/>
        </w:rPr>
        <w:t xml:space="preserve">’insectifuge et l’acétaminophène </w:t>
      </w:r>
      <w:r w:rsidR="00BA5700" w:rsidRPr="00BA5700">
        <w:rPr>
          <w:rFonts w:ascii="Comic Sans MS" w:hAnsi="Comic Sans MS"/>
        </w:rPr>
        <w:t xml:space="preserve">ne nécessite pas de prescription si le protocole d’administration est signé par le parent. </w:t>
      </w:r>
    </w:p>
    <w:p w14:paraId="50D4B671" w14:textId="77777777" w:rsidR="00BA5700" w:rsidRPr="00BA5700" w:rsidRDefault="00BA5700">
      <w:pPr>
        <w:rPr>
          <w:rFonts w:ascii="Comic Sans MS" w:hAnsi="Comic Sans MS"/>
        </w:rPr>
      </w:pPr>
      <w:r w:rsidRPr="00BA5700">
        <w:rPr>
          <w:rFonts w:ascii="Comic Sans MS" w:hAnsi="Comic Sans MS"/>
        </w:rPr>
        <w:t xml:space="preserve">Tout médicament doit être dans son contenant d’origine. Dans lequel il est </w:t>
      </w:r>
      <w:r w:rsidR="00E30776" w:rsidRPr="00BA5700">
        <w:rPr>
          <w:rFonts w:ascii="Comic Sans MS" w:hAnsi="Comic Sans MS"/>
        </w:rPr>
        <w:t>indiqu</w:t>
      </w:r>
      <w:r w:rsidRPr="00BA5700">
        <w:rPr>
          <w:rFonts w:ascii="Comic Sans MS" w:hAnsi="Comic Sans MS"/>
        </w:rPr>
        <w:t>é</w:t>
      </w:r>
      <w:r w:rsidR="00E30776" w:rsidRPr="00BA5700">
        <w:rPr>
          <w:rFonts w:ascii="Comic Sans MS" w:hAnsi="Comic Sans MS"/>
        </w:rPr>
        <w:t xml:space="preserve"> le nom du médicament, sa date d’expiration, sa posologie et la durée du traitement. Dans le cas d’un médicament prescrit, les renseignements inscrits par le pharmacien sur l’étiquette font foi d’une autorisation médicale. </w:t>
      </w:r>
    </w:p>
    <w:p w14:paraId="2EFCE8E0" w14:textId="77777777" w:rsidR="00BA5700" w:rsidRPr="00BA5700" w:rsidRDefault="00BA5700">
      <w:pPr>
        <w:rPr>
          <w:rFonts w:ascii="Comic Sans MS" w:hAnsi="Comic Sans MS"/>
        </w:rPr>
      </w:pPr>
    </w:p>
    <w:p w14:paraId="05BC8441" w14:textId="66B4B2CB" w:rsidR="002A4AB6" w:rsidRPr="00BA5700" w:rsidRDefault="00F024E4">
      <w:pPr>
        <w:rPr>
          <w:rFonts w:ascii="Comic Sans MS" w:hAnsi="Comic Sans MS"/>
        </w:rPr>
      </w:pPr>
      <w:r>
        <w:rPr>
          <w:noProof/>
        </w:rPr>
        <w:drawing>
          <wp:anchor distT="0" distB="0" distL="114300" distR="114300" simplePos="0" relativeHeight="251659264" behindDoc="0" locked="0" layoutInCell="1" allowOverlap="1" wp14:anchorId="0B1258C8" wp14:editId="0E3785B1">
            <wp:simplePos x="0" y="0"/>
            <wp:positionH relativeFrom="column">
              <wp:posOffset>4263886</wp:posOffset>
            </wp:positionH>
            <wp:positionV relativeFrom="paragraph">
              <wp:posOffset>875472</wp:posOffset>
            </wp:positionV>
            <wp:extent cx="1381760" cy="904240"/>
            <wp:effectExtent l="0" t="0" r="8890" b="0"/>
            <wp:wrapNone/>
            <wp:docPr id="14429951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1760"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776" w:rsidRPr="00BA5700">
        <w:rPr>
          <w:rFonts w:ascii="Comic Sans MS" w:hAnsi="Comic Sans MS"/>
        </w:rPr>
        <w:t>En aucun cas, les médicaments doivent demeurer dans le casier de l’enfant, ils doivent être consignés dans les armoires prévues à cet effet.</w:t>
      </w:r>
      <w:r w:rsidRPr="00F024E4">
        <w:rPr>
          <w:noProof/>
        </w:rPr>
        <w:t xml:space="preserve"> </w:t>
      </w:r>
    </w:p>
    <w:sectPr w:rsidR="002A4AB6" w:rsidRPr="00BA570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76"/>
    <w:rsid w:val="002A4AB6"/>
    <w:rsid w:val="00BA5700"/>
    <w:rsid w:val="00E30776"/>
    <w:rsid w:val="00F024E4"/>
    <w:rsid w:val="00FC417F"/>
    <w:rsid w:val="00FD75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21BB"/>
  <w15:chartTrackingRefBased/>
  <w15:docId w15:val="{DF770002-E852-428F-B1C9-93753342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30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0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077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077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077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077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077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077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077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077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077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077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077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077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077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077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077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0776"/>
    <w:rPr>
      <w:rFonts w:eastAsiaTheme="majorEastAsia" w:cstheme="majorBidi"/>
      <w:color w:val="272727" w:themeColor="text1" w:themeTint="D8"/>
    </w:rPr>
  </w:style>
  <w:style w:type="paragraph" w:styleId="Titre">
    <w:name w:val="Title"/>
    <w:basedOn w:val="Normal"/>
    <w:next w:val="Normal"/>
    <w:link w:val="TitreCar"/>
    <w:uiPriority w:val="10"/>
    <w:qFormat/>
    <w:rsid w:val="00E30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077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077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077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0776"/>
    <w:pPr>
      <w:spacing w:before="160"/>
      <w:jc w:val="center"/>
    </w:pPr>
    <w:rPr>
      <w:i/>
      <w:iCs/>
      <w:color w:val="404040" w:themeColor="text1" w:themeTint="BF"/>
    </w:rPr>
  </w:style>
  <w:style w:type="character" w:customStyle="1" w:styleId="CitationCar">
    <w:name w:val="Citation Car"/>
    <w:basedOn w:val="Policepardfaut"/>
    <w:link w:val="Citation"/>
    <w:uiPriority w:val="29"/>
    <w:rsid w:val="00E30776"/>
    <w:rPr>
      <w:i/>
      <w:iCs/>
      <w:color w:val="404040" w:themeColor="text1" w:themeTint="BF"/>
    </w:rPr>
  </w:style>
  <w:style w:type="paragraph" w:styleId="Paragraphedeliste">
    <w:name w:val="List Paragraph"/>
    <w:basedOn w:val="Normal"/>
    <w:uiPriority w:val="34"/>
    <w:qFormat/>
    <w:rsid w:val="00E30776"/>
    <w:pPr>
      <w:ind w:left="720"/>
      <w:contextualSpacing/>
    </w:pPr>
  </w:style>
  <w:style w:type="character" w:styleId="Accentuationintense">
    <w:name w:val="Intense Emphasis"/>
    <w:basedOn w:val="Policepardfaut"/>
    <w:uiPriority w:val="21"/>
    <w:qFormat/>
    <w:rsid w:val="00E30776"/>
    <w:rPr>
      <w:i/>
      <w:iCs/>
      <w:color w:val="0F4761" w:themeColor="accent1" w:themeShade="BF"/>
    </w:rPr>
  </w:style>
  <w:style w:type="paragraph" w:styleId="Citationintense">
    <w:name w:val="Intense Quote"/>
    <w:basedOn w:val="Normal"/>
    <w:next w:val="Normal"/>
    <w:link w:val="CitationintenseCar"/>
    <w:uiPriority w:val="30"/>
    <w:qFormat/>
    <w:rsid w:val="00E30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0776"/>
    <w:rPr>
      <w:i/>
      <w:iCs/>
      <w:color w:val="0F4761" w:themeColor="accent1" w:themeShade="BF"/>
    </w:rPr>
  </w:style>
  <w:style w:type="character" w:styleId="Rfrenceintense">
    <w:name w:val="Intense Reference"/>
    <w:basedOn w:val="Policepardfaut"/>
    <w:uiPriority w:val="32"/>
    <w:qFormat/>
    <w:rsid w:val="00E307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162</Words>
  <Characters>896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Garneau</dc:creator>
  <cp:keywords/>
  <dc:description/>
  <cp:lastModifiedBy>Jessica Garneau</cp:lastModifiedBy>
  <cp:revision>2</cp:revision>
  <dcterms:created xsi:type="dcterms:W3CDTF">2026-07-14T18:26:00Z</dcterms:created>
  <dcterms:modified xsi:type="dcterms:W3CDTF">2026-07-14T19:59:00Z</dcterms:modified>
</cp:coreProperties>
</file>